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16CFCB8C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</w:t>
      </w:r>
      <w:r w:rsidR="006F4BBE">
        <w:rPr>
          <w:rFonts w:eastAsia="Avenir" w:cs="Avenir"/>
          <w:sz w:val="18"/>
          <w:szCs w:val="18"/>
        </w:rPr>
        <w:t xml:space="preserve">Senior </w:t>
      </w:r>
      <w:r w:rsidRPr="000C67F6">
        <w:rPr>
          <w:rFonts w:eastAsia="Avenir" w:cs="Avenir"/>
          <w:sz w:val="18"/>
          <w:szCs w:val="18"/>
        </w:rPr>
        <w:t>D</w:t>
      </w:r>
      <w:r w:rsidR="00862EC1">
        <w:rPr>
          <w:rFonts w:eastAsia="Avenir" w:cs="Avenir"/>
          <w:sz w:val="18"/>
          <w:szCs w:val="18"/>
        </w:rPr>
        <w:t>ata</w:t>
      </w:r>
      <w:r w:rsidR="00B33C70">
        <w:rPr>
          <w:rFonts w:eastAsia="Avenir" w:cs="Avenir"/>
          <w:sz w:val="18"/>
          <w:szCs w:val="18"/>
        </w:rPr>
        <w:t xml:space="preserve"> Executive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862EC1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3D2E5B45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B2B1B">
        <w:rPr>
          <w:rFonts w:eastAsia="Avenir" w:cs="Avenir"/>
          <w:sz w:val="18"/>
          <w:szCs w:val="18"/>
        </w:rPr>
        <w:t>Project Director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5B2B1B">
        <w:rPr>
          <w:rFonts w:eastAsia="Avenir" w:cs="Avenir"/>
          <w:sz w:val="18"/>
          <w:szCs w:val="18"/>
        </w:rPr>
        <w:t>Centre for Data Science and Analytics (CDSA)</w:t>
      </w:r>
    </w:p>
    <w:p w14:paraId="76187127" w14:textId="0661E07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862EC1" w:rsidRPr="00862EC1">
        <w:rPr>
          <w:rFonts w:eastAsia="Avenir" w:cs="Avenir"/>
          <w:sz w:val="18"/>
          <w:szCs w:val="18"/>
        </w:rPr>
        <w:t>Ashoka University Campus</w:t>
      </w:r>
      <w:r w:rsidR="00862EC1">
        <w:rPr>
          <w:rFonts w:eastAsia="Avenir" w:cs="Avenir"/>
          <w:sz w:val="18"/>
          <w:szCs w:val="18"/>
        </w:rPr>
        <w:t xml:space="preserve">, </w:t>
      </w:r>
      <w:r w:rsidR="00862EC1" w:rsidRPr="00862EC1">
        <w:rPr>
          <w:rFonts w:eastAsia="Avenir" w:cs="Avenir"/>
          <w:sz w:val="18"/>
          <w:szCs w:val="18"/>
        </w:rPr>
        <w:t>Sonipat, Haryana</w:t>
      </w:r>
    </w:p>
    <w:p w14:paraId="22B9D916" w14:textId="4111E12B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6F4BBE">
        <w:rPr>
          <w:rFonts w:eastAsia="Avenir" w:cs="Avenir"/>
          <w:sz w:val="18"/>
          <w:szCs w:val="18"/>
        </w:rPr>
        <w:t>4</w:t>
      </w:r>
      <w:r w:rsidR="00862EC1" w:rsidRPr="00862EC1">
        <w:rPr>
          <w:rFonts w:eastAsia="Avenir" w:cs="Avenir"/>
          <w:sz w:val="18"/>
          <w:szCs w:val="18"/>
        </w:rPr>
        <w:t>+</w:t>
      </w:r>
    </w:p>
    <w:p w14:paraId="4EC9D478" w14:textId="199B3F39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33C70" w:rsidRPr="00B33C70">
        <w:rPr>
          <w:rFonts w:eastAsia="Avenir" w:cs="Avenir"/>
          <w:sz w:val="18"/>
          <w:szCs w:val="18"/>
        </w:rPr>
        <w:t>Support role involving coordination, exploration, and evaluation of datasets across social impact domains. The position bridges domain experts and developers to facilitate data sourcing, analysis, and automation planning.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8636A73" w14:textId="76095B1A" w:rsidR="0091450F" w:rsidRPr="00612D01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612D01" w:rsidRPr="00612D01">
        <w:rPr>
          <w:rFonts w:eastAsia="Avenir" w:cs="Avenir"/>
          <w:b/>
          <w:color w:val="2F5496" w:themeColor="accent1" w:themeShade="BF"/>
          <w:sz w:val="18"/>
          <w:szCs w:val="18"/>
        </w:rPr>
        <w:t>Centre for Data Science and Analytics (CDSA)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612D01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612D01" w:rsidRPr="00612D01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612D01" w:rsidRPr="00612D01">
          <w:rPr>
            <w:rStyle w:val="Hyperlink"/>
            <w:rFonts w:cstheme="majorHAnsi"/>
            <w:i/>
            <w:iCs/>
            <w:color w:val="auto"/>
            <w:sz w:val="18"/>
          </w:rPr>
          <w:t>Datalake</w:t>
        </w:r>
      </w:hyperlink>
      <w:r w:rsidR="00612D01" w:rsidRPr="00612D01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</w:t>
      </w:r>
      <w:r w:rsidR="00060B75">
        <w:rPr>
          <w:rFonts w:cstheme="majorHAnsi"/>
          <w:sz w:val="18"/>
        </w:rPr>
        <w:t xml:space="preserve"> </w:t>
      </w:r>
      <w:r w:rsidR="00060B75" w:rsidRPr="00060B75">
        <w:rPr>
          <w:rFonts w:cstheme="majorHAnsi"/>
          <w:sz w:val="18"/>
        </w:rPr>
        <w:t>Reach out to us for more details cdsa@ashoka.edu.in</w:t>
      </w:r>
    </w:p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3ED0686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4583E381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Assess and evaluate dataset availability and requirements in multiple social impact verticals such as politics, agriculture, energy, climate, public health, economics, etc. </w:t>
      </w:r>
    </w:p>
    <w:p w14:paraId="6FBB97FD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Understand dataset requirements from people working in various agencies / institutions in India (including departments at Ashoka) and abroad</w:t>
      </w:r>
    </w:p>
    <w:p w14:paraId="0AC2B3BC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Assist the Datalake and Datasets Leads in data coordination with private, public, and government bodies </w:t>
      </w:r>
    </w:p>
    <w:p w14:paraId="6A75D949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Explore data extraction, curation, and ingestion processes from different sources and provide inputs to developers for automation</w:t>
      </w: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493B67D4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4568466D" w14:textId="6CD07AAA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An undergraduate degree in Social / Physical / Health Science, Law, or Engineering or higher qualification (Masters or more)</w:t>
      </w:r>
    </w:p>
    <w:p w14:paraId="171A59D6" w14:textId="7660F46F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 xml:space="preserve">At least </w:t>
      </w:r>
      <w:r w:rsidR="006F4BBE">
        <w:rPr>
          <w:rFonts w:ascii="Georgia" w:eastAsia="Avenir" w:hAnsi="Georgia" w:cs="Avenir"/>
          <w:sz w:val="18"/>
          <w:szCs w:val="18"/>
        </w:rPr>
        <w:t>4</w:t>
      </w:r>
      <w:r w:rsidRPr="00B33C70">
        <w:rPr>
          <w:rFonts w:ascii="Georgia" w:eastAsia="Avenir" w:hAnsi="Georgia" w:cs="Avenir"/>
          <w:sz w:val="18"/>
          <w:szCs w:val="18"/>
        </w:rPr>
        <w:t xml:space="preserve"> year of experience in a position which includes analysis of social impact datasets</w:t>
      </w:r>
    </w:p>
    <w:p w14:paraId="32F16428" w14:textId="77777777" w:rsidR="00862EC1" w:rsidRPr="000C67F6" w:rsidRDefault="00862EC1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6BFEFF60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7E0AA85C" w14:textId="3E468744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 xml:space="preserve">Familiarity with Excel (for data management) and at least one of the data analytics tools like System R / Strata </w:t>
      </w:r>
    </w:p>
    <w:p w14:paraId="6B28B97B" w14:textId="77777777" w:rsid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Familiarity with Python programming and automation, including:</w:t>
      </w:r>
    </w:p>
    <w:p w14:paraId="7210D7BD" w14:textId="77777777" w:rsidR="00B33C70" w:rsidRPr="00B33C70" w:rsidRDefault="00B33C70" w:rsidP="00B33C70">
      <w:pPr>
        <w:pStyle w:val="ListParagraph"/>
        <w:numPr>
          <w:ilvl w:val="1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Basic programming with use libraries for web interactions</w:t>
      </w:r>
    </w:p>
    <w:p w14:paraId="0D32F1DD" w14:textId="3AA549E6" w:rsidR="00B33C70" w:rsidRPr="00B33C70" w:rsidRDefault="00B33C70" w:rsidP="00B33C70">
      <w:pPr>
        <w:pStyle w:val="ListParagraph"/>
        <w:numPr>
          <w:ilvl w:val="1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Basic data analysis using libraries such as pandas and matplotlib</w:t>
      </w:r>
    </w:p>
    <w:p w14:paraId="2AD2763D" w14:textId="10577DFB" w:rsidR="0091450F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Excellent communication skills</w:t>
      </w: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15A29BFF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F07C68">
        <w:rPr>
          <w:rFonts w:eastAsia="Avenir" w:cs="Avenir"/>
          <w:sz w:val="18"/>
          <w:szCs w:val="18"/>
        </w:rPr>
        <w:t>Centre for Data Science and Analytics (CDSA)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349676F6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CC5F87" w:rsidRPr="00CC5F87">
        <w:rPr>
          <w:rFonts w:eastAsia="Avenir" w:cs="Avenir"/>
          <w:sz w:val="18"/>
          <w:szCs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A3212"/>
    <w:multiLevelType w:val="hybridMultilevel"/>
    <w:tmpl w:val="4C444EAC"/>
    <w:lvl w:ilvl="0" w:tplc="52C014DA">
      <w:numFmt w:val="bullet"/>
      <w:lvlText w:val="•"/>
      <w:lvlJc w:val="left"/>
      <w:pPr>
        <w:ind w:left="90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C13589"/>
    <w:multiLevelType w:val="hybridMultilevel"/>
    <w:tmpl w:val="10CA6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B26DE"/>
    <w:multiLevelType w:val="hybridMultilevel"/>
    <w:tmpl w:val="ADD0A13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687DA0"/>
    <w:multiLevelType w:val="hybridMultilevel"/>
    <w:tmpl w:val="959C2884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6135">
    <w:abstractNumId w:val="3"/>
  </w:num>
  <w:num w:numId="2" w16cid:durableId="327371828">
    <w:abstractNumId w:val="0"/>
  </w:num>
  <w:num w:numId="3" w16cid:durableId="1005323578">
    <w:abstractNumId w:val="5"/>
  </w:num>
  <w:num w:numId="4" w16cid:durableId="513110960">
    <w:abstractNumId w:val="6"/>
  </w:num>
  <w:num w:numId="5" w16cid:durableId="1891964905">
    <w:abstractNumId w:val="6"/>
  </w:num>
  <w:num w:numId="6" w16cid:durableId="1060709415">
    <w:abstractNumId w:val="2"/>
  </w:num>
  <w:num w:numId="7" w16cid:durableId="1105615077">
    <w:abstractNumId w:val="4"/>
  </w:num>
  <w:num w:numId="8" w16cid:durableId="141743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60B75"/>
    <w:rsid w:val="000C67F6"/>
    <w:rsid w:val="001B341E"/>
    <w:rsid w:val="00400D64"/>
    <w:rsid w:val="0049592D"/>
    <w:rsid w:val="005B2B1B"/>
    <w:rsid w:val="005C3AE3"/>
    <w:rsid w:val="00612D01"/>
    <w:rsid w:val="006F3F9C"/>
    <w:rsid w:val="006F4BBE"/>
    <w:rsid w:val="00715F5F"/>
    <w:rsid w:val="00862EC1"/>
    <w:rsid w:val="008A11DB"/>
    <w:rsid w:val="0090708F"/>
    <w:rsid w:val="00912E55"/>
    <w:rsid w:val="0091450F"/>
    <w:rsid w:val="009C74C4"/>
    <w:rsid w:val="00A04D2F"/>
    <w:rsid w:val="00B33C70"/>
    <w:rsid w:val="00CC5F87"/>
    <w:rsid w:val="00E76914"/>
    <w:rsid w:val="00F07C68"/>
    <w:rsid w:val="00F265F7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2E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C1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861</Words>
  <Characters>5238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13</cp:revision>
  <dcterms:created xsi:type="dcterms:W3CDTF">2024-08-09T11:57:00Z</dcterms:created>
  <dcterms:modified xsi:type="dcterms:W3CDTF">2025-07-08T05:15:00Z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